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69" w:rsidRPr="00935596" w:rsidRDefault="00C10469" w:rsidP="00B63AAA">
      <w:pPr>
        <w:pStyle w:val="NoSpacing"/>
        <w:jc w:val="both"/>
        <w:rPr>
          <w:sz w:val="20"/>
          <w:szCs w:val="20"/>
        </w:rPr>
      </w:pPr>
      <w:r w:rsidRPr="00935596">
        <w:rPr>
          <w:sz w:val="20"/>
          <w:szCs w:val="20"/>
        </w:rPr>
        <w:t xml:space="preserve">Član 82. </w:t>
      </w:r>
    </w:p>
    <w:p w:rsidR="00C10469" w:rsidRPr="00935596" w:rsidRDefault="00C10469" w:rsidP="00B63AAA">
      <w:pPr>
        <w:pStyle w:val="NoSpacing"/>
        <w:jc w:val="both"/>
        <w:rPr>
          <w:sz w:val="20"/>
          <w:szCs w:val="20"/>
        </w:rPr>
      </w:pPr>
      <w:r w:rsidRPr="00935596">
        <w:rPr>
          <w:sz w:val="20"/>
          <w:szCs w:val="20"/>
        </w:rPr>
        <w:t xml:space="preserve"> </w:t>
      </w:r>
    </w:p>
    <w:p w:rsidR="00C10469" w:rsidRPr="00935596" w:rsidRDefault="00C10469" w:rsidP="00B63AAA">
      <w:pPr>
        <w:pStyle w:val="NoSpacing"/>
        <w:jc w:val="both"/>
        <w:rPr>
          <w:sz w:val="20"/>
          <w:szCs w:val="20"/>
        </w:rPr>
      </w:pPr>
      <w:r w:rsidRPr="00935596">
        <w:rPr>
          <w:sz w:val="20"/>
          <w:szCs w:val="20"/>
        </w:rPr>
        <w:t xml:space="preserve">Izduvna emisija motornih vozila sa motorima koji rade sa unutrašnjim sagorevanjem, pri </w:t>
      </w:r>
    </w:p>
    <w:p w:rsidR="00C10469" w:rsidRPr="00935596" w:rsidRDefault="00C10469" w:rsidP="00B63AAA">
      <w:pPr>
        <w:pStyle w:val="NoSpacing"/>
        <w:jc w:val="both"/>
        <w:rPr>
          <w:sz w:val="20"/>
          <w:szCs w:val="20"/>
        </w:rPr>
      </w:pPr>
      <w:r w:rsidRPr="00935596">
        <w:rPr>
          <w:sz w:val="20"/>
          <w:szCs w:val="20"/>
        </w:rPr>
        <w:t xml:space="preserve">prvoj registraciji, mora odgovarati zahtevima jednoobraznih tehničkih uslova.  </w:t>
      </w:r>
    </w:p>
    <w:p w:rsidR="00C10469" w:rsidRPr="00935596" w:rsidRDefault="00C10469" w:rsidP="00B63AAA">
      <w:pPr>
        <w:pStyle w:val="NoSpacing"/>
        <w:jc w:val="both"/>
        <w:rPr>
          <w:sz w:val="20"/>
          <w:szCs w:val="20"/>
        </w:rPr>
      </w:pPr>
      <w:r w:rsidRPr="00935596">
        <w:rPr>
          <w:sz w:val="20"/>
          <w:szCs w:val="20"/>
        </w:rPr>
        <w:t xml:space="preserve">Na motornim vozilima, koja ispunjavaju uslove propisane normom najmanje „EURO 3”, </w:t>
      </w:r>
    </w:p>
    <w:p w:rsidR="00C10469" w:rsidRPr="00935596" w:rsidRDefault="00C10469" w:rsidP="00B63AAA">
      <w:pPr>
        <w:pStyle w:val="NoSpacing"/>
        <w:jc w:val="both"/>
        <w:rPr>
          <w:sz w:val="20"/>
          <w:szCs w:val="20"/>
        </w:rPr>
      </w:pPr>
      <w:r w:rsidRPr="00935596">
        <w:rPr>
          <w:sz w:val="20"/>
          <w:szCs w:val="20"/>
        </w:rPr>
        <w:t xml:space="preserve">mora postojati ispravan sistem za upozoravanje na neispravnost opreme za regulisanje </w:t>
      </w:r>
    </w:p>
    <w:p w:rsidR="00C10469" w:rsidRPr="00935596" w:rsidRDefault="00C10469" w:rsidP="00B63AAA">
      <w:pPr>
        <w:pStyle w:val="NoSpacing"/>
        <w:jc w:val="both"/>
        <w:rPr>
          <w:sz w:val="20"/>
          <w:szCs w:val="20"/>
        </w:rPr>
      </w:pPr>
      <w:r w:rsidRPr="00935596">
        <w:rPr>
          <w:sz w:val="20"/>
          <w:szCs w:val="20"/>
        </w:rPr>
        <w:t xml:space="preserve">aero zagađenja (OBD).  </w:t>
      </w:r>
    </w:p>
    <w:p w:rsidR="00C10469" w:rsidRPr="00935596" w:rsidRDefault="00C10469" w:rsidP="00B63AAA">
      <w:pPr>
        <w:pStyle w:val="NoSpacing"/>
        <w:jc w:val="both"/>
        <w:rPr>
          <w:sz w:val="20"/>
          <w:szCs w:val="20"/>
        </w:rPr>
      </w:pPr>
      <w:r w:rsidRPr="00935596">
        <w:rPr>
          <w:sz w:val="20"/>
          <w:szCs w:val="20"/>
        </w:rPr>
        <w:t xml:space="preserve">Sastav izduvnih gasova kod motornih vozila, osim vrste T i C, mora odgovarati sledećim </w:t>
      </w:r>
    </w:p>
    <w:p w:rsidR="00C10469" w:rsidRPr="00935596" w:rsidRDefault="00C10469" w:rsidP="00B63AAA">
      <w:pPr>
        <w:pStyle w:val="NoSpacing"/>
        <w:jc w:val="both"/>
        <w:rPr>
          <w:sz w:val="20"/>
          <w:szCs w:val="20"/>
        </w:rPr>
      </w:pPr>
      <w:r w:rsidRPr="00935596">
        <w:rPr>
          <w:sz w:val="20"/>
          <w:szCs w:val="20"/>
        </w:rPr>
        <w:t xml:space="preserve">normativima, i to: </w:t>
      </w:r>
    </w:p>
    <w:p w:rsidR="00C10469" w:rsidRPr="00935596" w:rsidRDefault="00C10469" w:rsidP="00B63AAA">
      <w:pPr>
        <w:pStyle w:val="NoSpacing"/>
        <w:jc w:val="both"/>
        <w:rPr>
          <w:sz w:val="20"/>
          <w:szCs w:val="20"/>
        </w:rPr>
      </w:pPr>
      <w:r w:rsidRPr="00935596">
        <w:rPr>
          <w:sz w:val="20"/>
          <w:szCs w:val="20"/>
        </w:rPr>
        <w:t xml:space="preserve"> </w:t>
      </w:r>
    </w:p>
    <w:p w:rsidR="00C10469" w:rsidRPr="00935596" w:rsidRDefault="00C10469" w:rsidP="00B63AAA">
      <w:pPr>
        <w:pStyle w:val="NoSpacing"/>
        <w:jc w:val="both"/>
        <w:rPr>
          <w:sz w:val="20"/>
          <w:szCs w:val="20"/>
        </w:rPr>
      </w:pPr>
      <w:r w:rsidRPr="00935596">
        <w:rPr>
          <w:sz w:val="20"/>
          <w:szCs w:val="20"/>
        </w:rPr>
        <w:t xml:space="preserve">1) za vozila sa motorom sa aktivnim paljenjem smeše (OTO motori): </w:t>
      </w:r>
    </w:p>
    <w:p w:rsidR="00C10469" w:rsidRPr="00935596" w:rsidRDefault="00C10469" w:rsidP="00B63AAA">
      <w:pPr>
        <w:pStyle w:val="NoSpacing"/>
        <w:jc w:val="both"/>
        <w:rPr>
          <w:sz w:val="20"/>
          <w:szCs w:val="20"/>
        </w:rPr>
      </w:pPr>
      <w:r w:rsidRPr="00935596">
        <w:rPr>
          <w:sz w:val="20"/>
          <w:szCs w:val="20"/>
        </w:rPr>
        <w:t xml:space="preserve"> </w:t>
      </w:r>
    </w:p>
    <w:p w:rsidR="00C10469" w:rsidRPr="00935596" w:rsidRDefault="00C10469" w:rsidP="00B63AAA">
      <w:pPr>
        <w:pStyle w:val="NoSpacing"/>
        <w:jc w:val="both"/>
        <w:rPr>
          <w:sz w:val="20"/>
          <w:szCs w:val="20"/>
        </w:rPr>
      </w:pPr>
      <w:r w:rsidRPr="00935596">
        <w:rPr>
          <w:sz w:val="20"/>
          <w:szCs w:val="20"/>
        </w:rPr>
        <w:t xml:space="preserve">(1) vozila koja su prvi put registrovana u Republici Srbiji do 1. marta  2014. godine moraju imati manje od 4,5 % vol. ugljenmonoksida (CO), pri broju obrtaja motora na praznom hodu motora na radnoj temperaturi, </w:t>
      </w:r>
    </w:p>
    <w:p w:rsidR="00C10469" w:rsidRPr="00935596" w:rsidRDefault="00C10469" w:rsidP="00B63AAA">
      <w:pPr>
        <w:pStyle w:val="NoSpacing"/>
        <w:jc w:val="both"/>
        <w:rPr>
          <w:sz w:val="20"/>
          <w:szCs w:val="20"/>
        </w:rPr>
      </w:pPr>
      <w:r w:rsidRPr="00935596">
        <w:rPr>
          <w:sz w:val="20"/>
          <w:szCs w:val="20"/>
        </w:rPr>
        <w:t xml:space="preserve"> </w:t>
      </w:r>
    </w:p>
    <w:p w:rsidR="00C10469" w:rsidRPr="00935596" w:rsidRDefault="00C10469" w:rsidP="00B63AAA">
      <w:pPr>
        <w:pStyle w:val="NoSpacing"/>
        <w:jc w:val="both"/>
        <w:rPr>
          <w:sz w:val="20"/>
          <w:szCs w:val="20"/>
        </w:rPr>
      </w:pPr>
      <w:r w:rsidRPr="00935596">
        <w:rPr>
          <w:sz w:val="20"/>
          <w:szCs w:val="20"/>
        </w:rPr>
        <w:t xml:space="preserve">(2) vozila sa karburatorom koja su prvi put registrovana u Republici  Srbiji nakon 1. marta 2014. godine moraju imati manje od 3,5 % vol. ugljenmonoksida (CO), pri broju obrtaja motora na praznom hodu motora na radnoj </w:t>
      </w:r>
      <w:bookmarkStart w:id="0" w:name="_GoBack"/>
      <w:bookmarkEnd w:id="0"/>
      <w:r w:rsidRPr="00935596">
        <w:rPr>
          <w:sz w:val="20"/>
          <w:szCs w:val="20"/>
        </w:rPr>
        <w:t xml:space="preserve">temperaturi, </w:t>
      </w:r>
    </w:p>
    <w:p w:rsidR="00C10469" w:rsidRPr="00935596" w:rsidRDefault="00C10469" w:rsidP="00B63AAA">
      <w:pPr>
        <w:pStyle w:val="NoSpacing"/>
        <w:jc w:val="both"/>
        <w:rPr>
          <w:sz w:val="20"/>
          <w:szCs w:val="20"/>
        </w:rPr>
      </w:pPr>
      <w:r w:rsidRPr="00935596">
        <w:rPr>
          <w:sz w:val="20"/>
          <w:szCs w:val="20"/>
        </w:rPr>
        <w:t xml:space="preserve"> </w:t>
      </w:r>
    </w:p>
    <w:p w:rsidR="00C10469" w:rsidRPr="00935596" w:rsidRDefault="00C10469" w:rsidP="00B63AAA">
      <w:pPr>
        <w:pStyle w:val="NoSpacing"/>
        <w:jc w:val="both"/>
        <w:rPr>
          <w:sz w:val="20"/>
          <w:szCs w:val="20"/>
        </w:rPr>
      </w:pPr>
      <w:r w:rsidRPr="00935596">
        <w:rPr>
          <w:sz w:val="20"/>
          <w:szCs w:val="20"/>
        </w:rPr>
        <w:t>(3) vozila sa elektronskom regulacijom smeše koja su prvi put registrovana u Republici Srbiji nakon 1. marta 2014. godine</w:t>
      </w:r>
      <w:r w:rsidRPr="00935596">
        <w:rPr>
          <w:b/>
          <w:sz w:val="20"/>
          <w:szCs w:val="20"/>
        </w:rPr>
        <w:t>,</w:t>
      </w:r>
      <w:r w:rsidRPr="00935596">
        <w:rPr>
          <w:sz w:val="20"/>
          <w:szCs w:val="20"/>
        </w:rPr>
        <w:t xml:space="preserve"> na radnoj temperaturi moraju zadovoljavati od proizvođača propisane vrednosti ugljenmonoksida i koeficijent viška vazduha (λ) pri propisanom broju obrtaja u praznom hodu, kao i vrednosti pri propisanom povišenom broju obrtaja motora. Deklarisane vrednosti hidrokatbonata, ugljendioksida i kiseonika ukazuju na stanje motora i sistema za odvođenje izduvnih gasova. </w:t>
      </w:r>
    </w:p>
    <w:p w:rsidR="00C10469" w:rsidRPr="00935596" w:rsidRDefault="00C10469" w:rsidP="00B63AAA">
      <w:pPr>
        <w:pStyle w:val="NoSpacing"/>
        <w:jc w:val="both"/>
        <w:rPr>
          <w:sz w:val="20"/>
          <w:szCs w:val="20"/>
        </w:rPr>
      </w:pPr>
      <w:r w:rsidRPr="00935596">
        <w:rPr>
          <w:sz w:val="20"/>
          <w:szCs w:val="20"/>
        </w:rPr>
        <w:t xml:space="preserve"> </w:t>
      </w:r>
    </w:p>
    <w:p w:rsidR="00C10469" w:rsidRPr="00935596" w:rsidRDefault="00C10469" w:rsidP="00B63AAA">
      <w:pPr>
        <w:pStyle w:val="NoSpacing"/>
        <w:jc w:val="both"/>
        <w:rPr>
          <w:sz w:val="20"/>
          <w:szCs w:val="20"/>
        </w:rPr>
      </w:pPr>
      <w:r w:rsidRPr="00935596">
        <w:rPr>
          <w:sz w:val="20"/>
          <w:szCs w:val="20"/>
        </w:rPr>
        <w:t xml:space="preserve">Ako podaci proizvođača nisu poznati, sadržaj ugljenmonoksida (CO) i vrednost koeficijenta viška vazduha (λ) u praznom hodu i pri postignutoj radnoj temperaturi motora mora biti CO ≤ 0,3%, a pri najmanje 2000 obrtaja i pri postignutoj radnoj temperaturi motora mora biti CO ≤ 0,2%. </w:t>
      </w:r>
    </w:p>
    <w:p w:rsidR="00C10469" w:rsidRPr="00935596" w:rsidRDefault="00C10469" w:rsidP="00B63AAA">
      <w:pPr>
        <w:pStyle w:val="NoSpacing"/>
        <w:jc w:val="both"/>
        <w:rPr>
          <w:sz w:val="20"/>
          <w:szCs w:val="20"/>
        </w:rPr>
      </w:pPr>
      <w:r w:rsidRPr="00935596">
        <w:rPr>
          <w:sz w:val="20"/>
          <w:szCs w:val="20"/>
        </w:rPr>
        <w:t xml:space="preserve"> </w:t>
      </w:r>
    </w:p>
    <w:p w:rsidR="00C10469" w:rsidRPr="00935596" w:rsidRDefault="00C10469" w:rsidP="00B63AAA">
      <w:pPr>
        <w:pStyle w:val="NoSpacing"/>
        <w:jc w:val="both"/>
        <w:rPr>
          <w:sz w:val="20"/>
          <w:szCs w:val="20"/>
        </w:rPr>
      </w:pPr>
      <w:r w:rsidRPr="00935596">
        <w:rPr>
          <w:sz w:val="20"/>
          <w:szCs w:val="20"/>
        </w:rPr>
        <w:t xml:space="preserve">Koeficijent viška vazduha (λ) mora da bude u opsegu 0,97 do 1,03; </w:t>
      </w:r>
    </w:p>
    <w:p w:rsidR="00C10469" w:rsidRPr="00935596" w:rsidRDefault="00C10469" w:rsidP="00B63AAA">
      <w:pPr>
        <w:pStyle w:val="NoSpacing"/>
        <w:jc w:val="both"/>
        <w:rPr>
          <w:sz w:val="20"/>
          <w:szCs w:val="20"/>
        </w:rPr>
      </w:pPr>
      <w:r w:rsidRPr="00935596">
        <w:rPr>
          <w:sz w:val="20"/>
          <w:szCs w:val="20"/>
        </w:rPr>
        <w:t xml:space="preserve"> </w:t>
      </w:r>
    </w:p>
    <w:p w:rsidR="00C10469" w:rsidRPr="00935596" w:rsidRDefault="00C10469" w:rsidP="00B63AAA">
      <w:pPr>
        <w:pStyle w:val="NoSpacing"/>
        <w:jc w:val="both"/>
        <w:rPr>
          <w:sz w:val="20"/>
          <w:szCs w:val="20"/>
        </w:rPr>
      </w:pPr>
      <w:r w:rsidRPr="00935596">
        <w:rPr>
          <w:sz w:val="20"/>
          <w:szCs w:val="20"/>
        </w:rPr>
        <w:t xml:space="preserve">2) vozila sa motorom sa kompresionim paljenjem (dizel), nakon što je motor postigao radnu temperaturu propisanu od strane proizvođača vozila, ne smeju imati srednji koeficijent apsorpcije svetlosti izduvnog gasa veći od vrednosti propisane od strane proizvođača i deklarisane prema jednoobraznim tehničkim uslovima. Ako podaci proizvođača vozila nisu poznati, tada za: </w:t>
      </w:r>
    </w:p>
    <w:p w:rsidR="00C10469" w:rsidRPr="00935596" w:rsidRDefault="00C10469" w:rsidP="00B63AAA">
      <w:pPr>
        <w:pStyle w:val="NoSpacing"/>
        <w:jc w:val="both"/>
        <w:rPr>
          <w:sz w:val="20"/>
          <w:szCs w:val="20"/>
        </w:rPr>
      </w:pPr>
      <w:r w:rsidRPr="00935596">
        <w:rPr>
          <w:sz w:val="20"/>
          <w:szCs w:val="20"/>
        </w:rPr>
        <w:t xml:space="preserve"> </w:t>
      </w:r>
    </w:p>
    <w:p w:rsidR="00C10469" w:rsidRPr="00935596" w:rsidRDefault="00C10469" w:rsidP="00B63AAA">
      <w:pPr>
        <w:pStyle w:val="NoSpacing"/>
        <w:jc w:val="both"/>
        <w:rPr>
          <w:sz w:val="20"/>
          <w:szCs w:val="20"/>
        </w:rPr>
      </w:pPr>
      <w:r w:rsidRPr="00935596">
        <w:rPr>
          <w:sz w:val="20"/>
          <w:szCs w:val="20"/>
        </w:rPr>
        <w:t xml:space="preserve">(1) vozila snage do 73,5 kW, vrednost apsorpcije svetlosti ne sme biti veća od 3,22 m-1, </w:t>
      </w:r>
    </w:p>
    <w:p w:rsidR="00C10469" w:rsidRPr="00935596" w:rsidRDefault="00C10469" w:rsidP="00B63AAA">
      <w:pPr>
        <w:pStyle w:val="NoSpacing"/>
        <w:jc w:val="both"/>
        <w:rPr>
          <w:sz w:val="20"/>
          <w:szCs w:val="20"/>
        </w:rPr>
      </w:pPr>
      <w:r w:rsidRPr="00935596">
        <w:rPr>
          <w:sz w:val="20"/>
          <w:szCs w:val="20"/>
        </w:rPr>
        <w:t xml:space="preserve"> </w:t>
      </w:r>
    </w:p>
    <w:p w:rsidR="00C10469" w:rsidRPr="00935596" w:rsidRDefault="00C10469" w:rsidP="00B63AAA">
      <w:pPr>
        <w:pStyle w:val="NoSpacing"/>
        <w:jc w:val="both"/>
        <w:rPr>
          <w:sz w:val="20"/>
          <w:szCs w:val="20"/>
        </w:rPr>
      </w:pPr>
      <w:r w:rsidRPr="00935596">
        <w:rPr>
          <w:sz w:val="20"/>
          <w:szCs w:val="20"/>
        </w:rPr>
        <w:t xml:space="preserve">(2) vozila snage preko 73,5 kW, vrednost apsorpcije svetlosti ne sme biti veća od 2,44 m-1, Pravilnik o podeli motornih i priključnih vozila i tehničkim uslovima za vozila u saobraćaju na putevima (SG 40/12) </w:t>
      </w:r>
    </w:p>
    <w:p w:rsidR="00C10469" w:rsidRPr="00935596" w:rsidRDefault="00C10469" w:rsidP="00B63AAA">
      <w:pPr>
        <w:pStyle w:val="NoSpacing"/>
        <w:jc w:val="both"/>
        <w:rPr>
          <w:sz w:val="20"/>
          <w:szCs w:val="20"/>
        </w:rPr>
      </w:pPr>
    </w:p>
    <w:p w:rsidR="00C10469" w:rsidRPr="00935596" w:rsidRDefault="00C10469" w:rsidP="00B63AAA">
      <w:pPr>
        <w:pStyle w:val="NoSpacing"/>
        <w:jc w:val="both"/>
        <w:rPr>
          <w:sz w:val="20"/>
          <w:szCs w:val="20"/>
        </w:rPr>
      </w:pPr>
      <w:r w:rsidRPr="00935596">
        <w:rPr>
          <w:sz w:val="20"/>
          <w:szCs w:val="20"/>
        </w:rPr>
        <w:t xml:space="preserve">(3) za vozila koja su prvi put registrovana u Republici Srbiji nakon 1. marta 2014. godine, </w:t>
      </w:r>
    </w:p>
    <w:p w:rsidR="00C10469" w:rsidRPr="00935596" w:rsidRDefault="00C10469" w:rsidP="00B63AAA">
      <w:pPr>
        <w:pStyle w:val="NoSpacing"/>
        <w:jc w:val="both"/>
        <w:rPr>
          <w:sz w:val="20"/>
          <w:szCs w:val="20"/>
        </w:rPr>
      </w:pPr>
      <w:r w:rsidRPr="00935596">
        <w:rPr>
          <w:sz w:val="20"/>
          <w:szCs w:val="20"/>
        </w:rPr>
        <w:t xml:space="preserve">vrednost srednje apsorpcije svetlosti ne sme biti veća od 1,5 m-1. </w:t>
      </w:r>
    </w:p>
    <w:p w:rsidR="00C10469" w:rsidRPr="00935596" w:rsidRDefault="00C10469" w:rsidP="00B63AAA">
      <w:pPr>
        <w:pStyle w:val="NoSpacing"/>
        <w:jc w:val="both"/>
        <w:rPr>
          <w:sz w:val="20"/>
          <w:szCs w:val="20"/>
        </w:rPr>
      </w:pPr>
      <w:r w:rsidRPr="00935596">
        <w:rPr>
          <w:sz w:val="20"/>
          <w:szCs w:val="20"/>
        </w:rPr>
        <w:t xml:space="preserve"> </w:t>
      </w:r>
    </w:p>
    <w:p w:rsidR="00C10469" w:rsidRPr="00935596" w:rsidRDefault="00C10469" w:rsidP="00B63AAA">
      <w:pPr>
        <w:pStyle w:val="NoSpacing"/>
        <w:jc w:val="both"/>
        <w:rPr>
          <w:sz w:val="20"/>
          <w:szCs w:val="20"/>
        </w:rPr>
      </w:pPr>
      <w:r w:rsidRPr="00935596">
        <w:rPr>
          <w:sz w:val="20"/>
          <w:szCs w:val="20"/>
        </w:rPr>
        <w:t xml:space="preserve">Srednji koeficijent apsorpcije svetlosti izduvnog gasa izračunava se kao srednja vrednost najmanje tri merenja vrednosti koeficijenta apsorpcije svetlosti metodom slobodnog ubrzanja do najvećeg dozvoljenog broja obrtaja.  </w:t>
      </w:r>
    </w:p>
    <w:p w:rsidR="00C10469" w:rsidRPr="00935596" w:rsidRDefault="00C10469" w:rsidP="00B63AAA">
      <w:pPr>
        <w:pStyle w:val="NoSpacing"/>
        <w:jc w:val="both"/>
        <w:rPr>
          <w:sz w:val="20"/>
          <w:szCs w:val="20"/>
        </w:rPr>
      </w:pPr>
    </w:p>
    <w:p w:rsidR="00C10469" w:rsidRPr="00935596" w:rsidRDefault="00C10469" w:rsidP="00B63AAA">
      <w:pPr>
        <w:pStyle w:val="NoSpacing"/>
        <w:jc w:val="both"/>
        <w:rPr>
          <w:sz w:val="20"/>
          <w:szCs w:val="20"/>
        </w:rPr>
      </w:pPr>
      <w:r w:rsidRPr="00935596">
        <w:rPr>
          <w:sz w:val="20"/>
          <w:szCs w:val="20"/>
        </w:rPr>
        <w:t xml:space="preserve">Vozila koja za pogon koriste više vrsta goriva, moraju pri korišćenju svake vrste goriva </w:t>
      </w:r>
    </w:p>
    <w:p w:rsidR="00C10469" w:rsidRPr="00935596" w:rsidRDefault="00C10469" w:rsidP="00B63AAA">
      <w:pPr>
        <w:pStyle w:val="NoSpacing"/>
        <w:jc w:val="both"/>
        <w:rPr>
          <w:sz w:val="20"/>
          <w:szCs w:val="20"/>
        </w:rPr>
      </w:pPr>
      <w:r w:rsidRPr="00935596">
        <w:rPr>
          <w:sz w:val="20"/>
          <w:szCs w:val="20"/>
        </w:rPr>
        <w:t xml:space="preserve">zadovoljiti napred navedene vrednosti. </w:t>
      </w:r>
    </w:p>
    <w:p w:rsidR="00C10469" w:rsidRPr="00935596" w:rsidRDefault="00C10469" w:rsidP="00B63AAA">
      <w:pPr>
        <w:pStyle w:val="NoSpacing"/>
        <w:jc w:val="both"/>
        <w:rPr>
          <w:sz w:val="20"/>
          <w:szCs w:val="20"/>
        </w:rPr>
      </w:pPr>
      <w:r w:rsidRPr="00935596">
        <w:rPr>
          <w:sz w:val="20"/>
          <w:szCs w:val="20"/>
        </w:rPr>
        <w:t xml:space="preserve"> </w:t>
      </w:r>
    </w:p>
    <w:p w:rsidR="00C10469" w:rsidRPr="00935596" w:rsidRDefault="00C10469" w:rsidP="00B63AAA">
      <w:pPr>
        <w:pStyle w:val="NoSpacing"/>
        <w:jc w:val="both"/>
        <w:rPr>
          <w:sz w:val="20"/>
          <w:szCs w:val="20"/>
        </w:rPr>
      </w:pPr>
      <w:r w:rsidRPr="00935596">
        <w:rPr>
          <w:sz w:val="20"/>
          <w:szCs w:val="20"/>
        </w:rPr>
        <w:t xml:space="preserve">Vozila koja za pogon koriste kombinaciju goriva (na primer osnovno gorivo dizel i gasno </w:t>
      </w:r>
    </w:p>
    <w:p w:rsidR="00C10469" w:rsidRPr="00935596" w:rsidRDefault="00C10469" w:rsidP="00B63AAA">
      <w:pPr>
        <w:pStyle w:val="NoSpacing"/>
        <w:jc w:val="both"/>
        <w:rPr>
          <w:sz w:val="20"/>
          <w:szCs w:val="20"/>
        </w:rPr>
      </w:pPr>
      <w:r w:rsidRPr="00935596">
        <w:rPr>
          <w:sz w:val="20"/>
          <w:szCs w:val="20"/>
        </w:rPr>
        <w:t xml:space="preserve">gorivo istovremeno), moraju zadovoljiti kriterijume vrednosti emisije izduvnih gasova za </w:t>
      </w:r>
    </w:p>
    <w:p w:rsidR="00C10469" w:rsidRPr="00935596" w:rsidRDefault="00C10469" w:rsidP="00B63AAA">
      <w:pPr>
        <w:pStyle w:val="NoSpacing"/>
        <w:jc w:val="both"/>
        <w:rPr>
          <w:sz w:val="20"/>
          <w:szCs w:val="20"/>
        </w:rPr>
      </w:pPr>
      <w:r w:rsidRPr="00935596">
        <w:rPr>
          <w:sz w:val="20"/>
          <w:szCs w:val="20"/>
        </w:rPr>
        <w:t xml:space="preserve">osnovno gorivo.  </w:t>
      </w:r>
    </w:p>
    <w:p w:rsidR="00C10469" w:rsidRPr="00935596" w:rsidRDefault="00C10469" w:rsidP="00B63AAA">
      <w:pPr>
        <w:pStyle w:val="NoSpacing"/>
        <w:jc w:val="both"/>
        <w:rPr>
          <w:sz w:val="20"/>
          <w:szCs w:val="20"/>
        </w:rPr>
      </w:pPr>
    </w:p>
    <w:p w:rsidR="00C10469" w:rsidRPr="00935596" w:rsidRDefault="00C10469" w:rsidP="00B63AAA">
      <w:pPr>
        <w:pStyle w:val="NoSpacing"/>
        <w:jc w:val="both"/>
        <w:rPr>
          <w:sz w:val="20"/>
          <w:szCs w:val="20"/>
        </w:rPr>
      </w:pPr>
      <w:r w:rsidRPr="00935596">
        <w:rPr>
          <w:sz w:val="20"/>
          <w:szCs w:val="20"/>
        </w:rPr>
        <w:t xml:space="preserve">Izuzetno od stava 3. tačka 2) ovog člana, za vozila koja su proizvedena, odnosno prvi put </w:t>
      </w:r>
    </w:p>
    <w:p w:rsidR="00020FB3" w:rsidRPr="00C10469" w:rsidRDefault="00C10469" w:rsidP="00B63AAA">
      <w:pPr>
        <w:pStyle w:val="NoSpacing"/>
        <w:jc w:val="both"/>
      </w:pPr>
      <w:r w:rsidRPr="00935596">
        <w:rPr>
          <w:sz w:val="20"/>
          <w:szCs w:val="20"/>
        </w:rPr>
        <w:t xml:space="preserve">registrovana pre 1. januara 1980. godine, koeficijent apsorbcije svetlosti može da iznosi </w:t>
      </w:r>
      <w:r w:rsidRPr="00935596">
        <w:rPr>
          <w:sz w:val="20"/>
          <w:szCs w:val="20"/>
        </w:rPr>
        <w:cr/>
        <w:t xml:space="preserve"> najviše 3,52 m-1</w:t>
      </w:r>
      <w:r w:rsidRPr="00C10469">
        <w:t>.</w:t>
      </w:r>
    </w:p>
    <w:sectPr w:rsidR="00020FB3" w:rsidRPr="00C10469" w:rsidSect="00167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69"/>
    <w:rsid w:val="00020FB3"/>
    <w:rsid w:val="001673C3"/>
    <w:rsid w:val="002751EC"/>
    <w:rsid w:val="00935596"/>
    <w:rsid w:val="009F0FDE"/>
    <w:rsid w:val="00B63AAA"/>
    <w:rsid w:val="00C10469"/>
    <w:rsid w:val="00D5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4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 MO</dc:creator>
  <cp:lastModifiedBy>Igor</cp:lastModifiedBy>
  <cp:revision>2</cp:revision>
  <dcterms:created xsi:type="dcterms:W3CDTF">2014-02-14T13:33:00Z</dcterms:created>
  <dcterms:modified xsi:type="dcterms:W3CDTF">2014-02-14T13:33:00Z</dcterms:modified>
</cp:coreProperties>
</file>